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F8" w:rsidRDefault="00036D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6933"/>
        <w:gridCol w:w="1031"/>
        <w:gridCol w:w="2592"/>
      </w:tblGrid>
      <w:tr w:rsidR="00036DF8">
        <w:trPr>
          <w:trHeight w:val="188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widowControl w:val="0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036D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6"/>
              <w:tblW w:w="10755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10755"/>
            </w:tblGrid>
            <w:tr w:rsidR="00036DF8">
              <w:trPr>
                <w:trHeight w:val="450"/>
              </w:trPr>
              <w:tc>
                <w:tcPr>
                  <w:tcW w:w="107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036DF8" w:rsidRDefault="00290D7D">
                  <w:pPr>
                    <w:widowControl w:val="0"/>
                    <w:ind w:right="460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Аналитический отчет об оказании услуги по сбору, обобщению и анализу информации о качестве условий осуществления образовательной деятельности</w:t>
                  </w:r>
                </w:p>
              </w:tc>
            </w:tr>
          </w:tbl>
          <w:p w:rsidR="00036DF8" w:rsidRDefault="00036D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36DF8" w:rsidRDefault="00036DF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DF8">
        <w:trPr>
          <w:trHeight w:val="62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6DF8" w:rsidRDefault="00036DF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6DF8" w:rsidRDefault="00036DF8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6DF8">
        <w:trPr>
          <w:trHeight w:val="800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spacing w:after="200"/>
              <w:ind w:left="60"/>
              <w:jc w:val="both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0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"Лаборатория диагностики и развития социальных систем"</w:t>
            </w:r>
          </w:p>
        </w:tc>
      </w:tr>
    </w:tbl>
    <w:p w:rsidR="00036DF8" w:rsidRDefault="00036DF8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36DF8" w:rsidRDefault="00290D7D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</w:p>
    <w:tbl>
      <w:tblPr>
        <w:tblStyle w:val="a7"/>
        <w:tblW w:w="10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8"/>
        <w:gridCol w:w="3855"/>
        <w:gridCol w:w="220"/>
        <w:gridCol w:w="427"/>
        <w:gridCol w:w="2751"/>
        <w:gridCol w:w="220"/>
      </w:tblGrid>
      <w:tr w:rsidR="00036DF8">
        <w:trPr>
          <w:trHeight w:val="128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36DF8" w:rsidRDefault="00290D7D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Генеральный директор</w:t>
            </w:r>
          </w:p>
          <w:p w:rsidR="00036DF8" w:rsidRDefault="00290D7D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«Лаборатория-С»</w:t>
            </w:r>
          </w:p>
          <w:p w:rsidR="00036DF8" w:rsidRDefault="00036D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290D7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4"/>
                <w:szCs w:val="24"/>
              </w:rPr>
              <w:drawing>
                <wp:inline distT="114300" distB="114300" distL="114300" distR="114300">
                  <wp:extent cx="2362200" cy="18478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036DF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036DF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036DF8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9"/>
              <w:tblW w:w="1078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781"/>
            </w:tblGrid>
            <w:tr w:rsidR="00036DF8">
              <w:trPr>
                <w:trHeight w:val="860"/>
              </w:trPr>
              <w:tc>
                <w:tcPr>
                  <w:tcW w:w="73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36DF8" w:rsidRDefault="00036DF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36DF8" w:rsidRDefault="00036DF8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36DF8" w:rsidRDefault="00290D7D">
                  <w:pPr>
                    <w:ind w:left="10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Д.Ф. Барсукова</w:t>
                  </w:r>
                </w:p>
              </w:tc>
            </w:tr>
          </w:tbl>
          <w:p w:rsidR="00036DF8" w:rsidRDefault="00036D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DF8" w:rsidRDefault="00036DF8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br w:type="page"/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ИСПОЛЬЗУЕМЫЕ СОКРАЩЕНИЯ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Sn - Показатель оценки качества по организации социальной сферы, в отношении которой проведена независимая оценка качества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Чобщ - общее число опрошенных получателей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К1 - Показатель, характеризующий критерий оценки качества «Открытость и доступность 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нформации об организации социальной сферы»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Пинф - 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 правовыми актами Российской Федерации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(сайт)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Инорм - количество информации,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(стенд)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Истенд - количество информации, размещенной на информационных стендах в помещении организации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Исайт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количество информации, размещенной на официальном сайте организации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Пдист -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Тдист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количество баллов за каждый дистанционный способ взаимодействия с получателями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Сдист 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Поткруд -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ации социальной сферы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Устенд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Усайт - число получателей услуг, удовлетворенных открытостью, полнотой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доступностью информации, размещенной на официальном сайте организации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К2 - Показатель, характеризующий критерий оценки качества «Комфортность условий предоставления услуг, в том числе время ожидания предоставления услуг»*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Пкомф.усл - Обеспечение в организации социальной сферы комфортных условий предоставления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Ткомф– количество баллов за каждое комфортное условие предоставления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Скомф – количество комфортных условий предоставления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Укомф - число получателей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слуг, удовлетворенных комфортностью предоставления услуг организацией социальной сферы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Пкомфуд - Доля получателей услуг удовлетворенных комфортностью предоставления услуг организацией социальной сферы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К3 - Показатель, характеризующий критерий оценки качест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ва «Доступность услуг для инвалидов»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Поргдост - Оборудование помещений организации социальной сферы и прилегающей к ней территории с учетом доступности для 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Торгдост – количество баллов за каждое условие доступности организации для 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Соргд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ост – количество условий доступности организации для 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Пуслугдост - Обеспечение в организации социальной сферы условий доступности, позволяющих инвалидам получать услуги наравне с другими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Туслугдост – количество баллов за каждое условие доступности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позволяющее инвалидам получать услуги наравне с другими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Суслугдост – количество условий доступности, позволяющих инвалидам получать услуги наравне с другими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Пдостуд - Доля получателей услуг, удовлетворенных доступностью услуг для 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Чинв - число опрошенных получателей услуг-инвалидов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Удост - число получа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телей услуг-инвалидов, удовлетворенных доступностью услуг для инвалидов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Пперв.конт уд - Доля получателей услуг, удовлетворенн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Уперв.конт - число получателей услуг, удовлетворенных доброжелател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ьностью, вежливостью работников организации, обеспечивающих первичный контакт и информирование получателя услуги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Показ.услугуд - Доля получателей услуг, удовлетворенных доброжелательностью, вежливостью работников организации социальной сферы, обеспечивающи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х непосредственное оказание услуги при обращении в организацию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Пвежл.дистуд - Доля получателей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Увежл.дист - число получателей услуг, удовлетворенных доброжелательностью, вежливостью работников организации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использовании дистанционных форм взаимодействия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К5 - Показатель, характеризующий критерий оценки качества «Удовлетворенность условиями оказания услуг»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Преком - Доля получателей услуг, которые готовы рекомендовать организацию социальной сферы родственн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икам и знакомым (могли бы ее рекомендовать, если бы была возможность выбора организации социальной сферы)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ть выбора организации)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Уорг.усл - число получателей услуг, удовлетворенных организационными условиями предоставления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Порг.услуд - Доля получателей услуг, удовлетворенных организационными условиями предоставления услуг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Ууд - число получателей услуг, 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довлетворенных в целом условиями оказания услуг в организации социальной сферы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Пуд - Доля получателей услуг, удовлетворенных в целом условиями оказания услуг в организации социальной сферы</w:t>
      </w:r>
    </w:p>
    <w:p w:rsidR="00036DF8" w:rsidRDefault="00290D7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br w:type="page"/>
      </w:r>
    </w:p>
    <w:p w:rsidR="00036DF8" w:rsidRDefault="00290D7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Обобщенные результаты сбора, обобщения и анализа информации о 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естве оказания услуг организациями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55"/>
      </w:tblGrid>
      <w:tr w:rsidR="00036DF8">
        <w:trPr>
          <w:trHeight w:val="450"/>
        </w:trPr>
        <w:tc>
          <w:tcPr>
            <w:tcW w:w="10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организаций (учреждений), участвовавших в процедуре: организации, осуществляющие образовательную деятельность</w:t>
            </w:r>
          </w:p>
        </w:tc>
      </w:tr>
    </w:tbl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Процедура сбора, обобщения и анализа информации осуществлялась организацией-оператором в соответствии с Приказом Минтруда России от 31.05.2018 N 344н "Об утверждении Единого порядка расчета показателей, характеризующих общие критерии оценки качества услови</w:t>
      </w:r>
      <w:r>
        <w:rPr>
          <w:rFonts w:ascii="Times New Roman" w:eastAsia="Times New Roman" w:hAnsi="Times New Roman" w:cs="Times New Roman"/>
        </w:rPr>
        <w:t>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(Зарегистрировано в Минюсте России 11.10.2018 N 52409), а также рядом иных нормативно-правовых</w:t>
      </w:r>
      <w:r>
        <w:rPr>
          <w:rFonts w:ascii="Times New Roman" w:eastAsia="Times New Roman" w:hAnsi="Times New Roman" w:cs="Times New Roman"/>
        </w:rPr>
        <w:t xml:space="preserve"> актов, перечень которых представлен в техническом задании к договору (контракту), в рамках которой проводилась данная процедура.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 проведения - 2020 год.</w:t>
      </w: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каждой организации, которая подлежала процедуре, на основе собранной, обобщенной и проанализированной информации рассчитан Sn - итоговый показатель оценки качества организации.</w:t>
      </w: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показателя оценки качества рассчитывалось в баллах и его максималь</w:t>
      </w:r>
      <w:r>
        <w:rPr>
          <w:rFonts w:ascii="Times New Roman" w:eastAsia="Times New Roman" w:hAnsi="Times New Roman" w:cs="Times New Roman"/>
        </w:rPr>
        <w:t>но возможное значение составляет 100 баллов.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приведена информация о распределении организаций по группам (80-100 баллов, 60-79 баллов, 40-59 баллов, 20-39 баллов, 0-19 баллов). Деление на группы “отлично”, “хорошо”, “удовлетворительно”, “ниже ср</w:t>
      </w:r>
      <w:r>
        <w:rPr>
          <w:rFonts w:ascii="Times New Roman" w:eastAsia="Times New Roman" w:hAnsi="Times New Roman" w:cs="Times New Roman"/>
        </w:rPr>
        <w:t>еднего”, “неудовлетворительно” - условное, по аналогии  с данными сайта bus.gov.ru.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10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036DF8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организаций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DF8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 целях определения итогового показателя  были рассчитаны следующие показатели оценки: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К1 - Показатель, характеризующий критерий оценки качества «Открытость и доступность информации об организации социальной сферы»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К2 - Показатель, характеризующий критер</w:t>
      </w:r>
      <w:r>
        <w:rPr>
          <w:rFonts w:ascii="Times New Roman" w:eastAsia="Times New Roman" w:hAnsi="Times New Roman" w:cs="Times New Roman"/>
        </w:rPr>
        <w:t>ий оценки качества «Комфортность условий предоставления услуг»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К3 - Показатель, характеризующий критерий оценки качества «Доступность услуг для инвалидов»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К4 - Показатель, характеризующий критерий оценки качества «Доброжелательность, вежливость работников организации социальной сферы»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К5 - Показатель, характеризующий критерий оценки качества «Удовлетворенность условиями оказания услуг»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таблице и диаграмм</w:t>
      </w:r>
      <w:r>
        <w:rPr>
          <w:rFonts w:ascii="Times New Roman" w:eastAsia="Times New Roman" w:hAnsi="Times New Roman" w:cs="Times New Roman"/>
        </w:rPr>
        <w:t xml:space="preserve">ах применены условные сокращения в названиях показателей по аналогии с сайтом bus.gov.ru - Открытость,  Комфортность, Доступность услуг, Доброжелательность, Удовлетворенность.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Обобщенные результаты по вышеуказанным показателям приведены в таблице. </w:t>
      </w:r>
    </w:p>
    <w:tbl>
      <w:tblPr>
        <w:tblStyle w:val="ac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1155"/>
        <w:gridCol w:w="975"/>
        <w:gridCol w:w="1200"/>
        <w:gridCol w:w="1095"/>
        <w:gridCol w:w="1095"/>
        <w:gridCol w:w="1095"/>
        <w:gridCol w:w="1095"/>
        <w:gridCol w:w="1095"/>
        <w:gridCol w:w="1095"/>
      </w:tblGrid>
      <w:tr w:rsidR="00036DF8">
        <w:trPr>
          <w:trHeight w:val="450"/>
        </w:trPr>
        <w:tc>
          <w:tcPr>
            <w:tcW w:w="6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</w:t>
            </w:r>
            <w:r>
              <w:rPr>
                <w:rFonts w:ascii="Times New Roman" w:eastAsia="Times New Roman" w:hAnsi="Times New Roman" w:cs="Times New Roman"/>
              </w:rPr>
              <w:t>овная группа</w:t>
            </w:r>
          </w:p>
        </w:tc>
        <w:tc>
          <w:tcPr>
            <w:tcW w:w="9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036DF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5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оценки</w:t>
            </w:r>
          </w:p>
        </w:tc>
      </w:tr>
      <w:tr w:rsidR="00036DF8">
        <w:trPr>
          <w:trHeight w:val="450"/>
        </w:trPr>
        <w:tc>
          <w:tcPr>
            <w:tcW w:w="6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036D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036DF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Открытость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Итоговый показатель оценки качества</w:t>
            </w:r>
          </w:p>
        </w:tc>
      </w:tr>
      <w:tr w:rsidR="00036DF8">
        <w:trPr>
          <w:trHeight w:val="56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"отлично"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80-100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36DF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"хорошо"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60-79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036DF8">
        <w:trPr>
          <w:trHeight w:val="396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40-59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6DF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"ниже среднего"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20-39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6DF8">
        <w:trPr>
          <w:trHeight w:val="585"/>
        </w:trPr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"неудовлетворительно"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0-19 баллов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организаций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6DF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Среднее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84,86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49,27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81,59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82,06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78,04</w:t>
            </w:r>
          </w:p>
        </w:tc>
      </w:tr>
      <w:tr w:rsidR="00036DF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Максимальное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97,60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90,10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</w:tr>
      <w:tr w:rsidR="00036DF8">
        <w:trPr>
          <w:trHeight w:val="330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Минимальное значение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86,80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60,50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71,36</w:t>
            </w:r>
          </w:p>
        </w:tc>
      </w:tr>
      <w:tr w:rsidR="00036DF8">
        <w:trPr>
          <w:trHeight w:val="585"/>
        </w:trPr>
        <w:tc>
          <w:tcPr>
            <w:tcW w:w="28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Интервал между максимальным и минимальным значением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баллы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10,80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36,50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52,00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24,40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23,10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036DF8">
          <w:headerReference w:type="default" r:id="rId8"/>
          <w:footerReference w:type="default" r:id="rId9"/>
          <w:pgSz w:w="11906" w:h="16838"/>
          <w:pgMar w:top="1133" w:right="566" w:bottom="566" w:left="566" w:header="720" w:footer="720" w:gutter="0"/>
          <w:pgNumType w:start="1"/>
          <w:cols w:space="720"/>
        </w:sect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Организации выстроены в порядке, предусмотренном техническим заданием к договору </w:t>
      </w:r>
      <w:r>
        <w:rPr>
          <w:rFonts w:ascii="Times New Roman" w:eastAsia="Times New Roman" w:hAnsi="Times New Roman" w:cs="Times New Roman"/>
        </w:rPr>
        <w:t>(контракту).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d"/>
        <w:tblW w:w="109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950"/>
        <w:gridCol w:w="950"/>
        <w:gridCol w:w="950"/>
        <w:gridCol w:w="950"/>
        <w:gridCol w:w="950"/>
        <w:gridCol w:w="950"/>
      </w:tblGrid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показатель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Доступность услуг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Доброжелательность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58,1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83,6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86,7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</w:t>
            </w:r>
            <w:r>
              <w:rPr>
                <w:rFonts w:ascii="Times New Roman" w:eastAsia="Times New Roman" w:hAnsi="Times New Roman" w:cs="Times New Roman"/>
              </w:rPr>
              <w:t>редняя общеобразовательная школа Кипчак- Аскарово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71,36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90,1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79,76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58,1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</w:t>
            </w:r>
            <w:r>
              <w:rPr>
                <w:rFonts w:ascii="Times New Roman" w:eastAsia="Times New Roman" w:hAnsi="Times New Roman" w:cs="Times New Roman"/>
              </w:rPr>
              <w:t xml:space="preserve"> общеобразовательная школа Нижнее Аврюзово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78,46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78,6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76,60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78,82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48,1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84,8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</w:t>
            </w:r>
            <w:r>
              <w:rPr>
                <w:rFonts w:ascii="Times New Roman" w:eastAsia="Times New Roman" w:hAnsi="Times New Roman" w:cs="Times New Roman"/>
              </w:rPr>
              <w:t>еобразовательная школа Тавричанка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38,5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82,6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75,78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70,7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77,48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90,4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51,9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78,2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</w:t>
            </w:r>
            <w:r>
              <w:rPr>
                <w:rFonts w:ascii="Times New Roman" w:eastAsia="Times New Roman" w:hAnsi="Times New Roman" w:cs="Times New Roman"/>
              </w:rPr>
              <w:t>вная общеобразовательная школа Абдрашитово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78,72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86,5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78,20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40,1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87,3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75,92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88,9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79,66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92,8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79,1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80,70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58,1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84,1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</w:t>
            </w:r>
            <w:r>
              <w:rPr>
                <w:rFonts w:ascii="Times New Roman" w:eastAsia="Times New Roman" w:hAnsi="Times New Roman" w:cs="Times New Roman"/>
              </w:rPr>
              <w:t>овная общеобразовательная школа Мендяново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74,3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78,60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94,4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49,0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88,0</w:t>
            </w:r>
          </w:p>
        </w:tc>
      </w:tr>
      <w:tr w:rsidR="00036DF8">
        <w:trPr>
          <w:trHeight w:val="566"/>
        </w:trPr>
        <w:tc>
          <w:tcPr>
            <w:tcW w:w="5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</w:t>
            </w:r>
            <w:r>
              <w:rPr>
                <w:rFonts w:ascii="Times New Roman" w:eastAsia="Times New Roman" w:hAnsi="Times New Roman" w:cs="Times New Roman"/>
              </w:rPr>
              <w:t>дняя общеобразовательная школа Чураево муниципального района Альшеевский район Республики Башкортостан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74,86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67,0</w:t>
            </w:r>
          </w:p>
        </w:tc>
        <w:tc>
          <w:tcPr>
            <w:tcW w:w="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67,0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ОБОБЩЕННЫЕ ВЫВОДЫ И РЕКОМЕНДАЦИИ ПО РЕЗУЛЬТАТАМ СБОРА, ОБОБЩЕНИЯ И АНАЛИЗА ИНФОРМАЦИИ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1) РЕЗУЛЬТАТЫ СБОРА, ОБОБЩЕНИЯ И АНАЛИЗА ИНФОРМАЦИИ О КАЧЕСТВЕ 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УСЛОВИЙ ОКАЗАНИЯ УСЛУГ ОРГАНИЗАЦИЯМИ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проведенной процедуры изучены условия оказания услуг. Необходимо отметить, что в организациях не в полном объеме обеспечены комфортные условия оказания услуг. Необходимо обеспечить следующие условия: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105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8205"/>
      </w:tblGrid>
      <w:tr w:rsidR="00036DF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Аврюзово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Башкортостан; Муниципальное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пального района Альшеевский район Республики Башкортостан;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Башкортостан; Муниципальное бюджетное общеобра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зовательное учреждение средняя общеобразовательная школа Нигматуллино муниципального района Альшеевский район Республики Башкортостан;</w:t>
            </w:r>
          </w:p>
        </w:tc>
      </w:tr>
      <w:tr w:rsidR="00036DF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понятность навигации внутри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азовательная школа Кипчак- Аскарово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ртостан;</w:t>
            </w:r>
          </w:p>
        </w:tc>
      </w:tr>
      <w:tr w:rsidR="00036DF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  <w:tr w:rsidR="00036DF8">
        <w:trPr>
          <w:trHeight w:val="750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</w:t>
            </w:r>
          </w:p>
        </w:tc>
      </w:tr>
      <w:tr w:rsidR="00036DF8">
        <w:trPr>
          <w:trHeight w:val="645"/>
        </w:trPr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санитарное состояние помещений организации</w:t>
            </w:r>
          </w:p>
        </w:tc>
        <w:tc>
          <w:tcPr>
            <w:tcW w:w="8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зафиксированы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2) РЕЗУЛЬТАТЫ СБОРА, ОБОБЩЕНИЯ И АНАЛИЗА ИНФОРМАЦИИ 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ДОСТУПНОСТИ УСЛУГ ДЛЯ ИНВАЛИДОВ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недостаточном уровне находятся значения показателей, касающихся оборудования помещений организации социальной сферы и прилегающей к 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территории с учетом доступности для инвалидов, а также условий доступности, позволяющих инвалидам получать услуги наравне с другими.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Так, необходимо принять меры по оборудованию территории, прилегающей к зданиям организации, и помещений с учетом доступно</w:t>
      </w:r>
      <w:r>
        <w:rPr>
          <w:rFonts w:ascii="Times New Roman" w:eastAsia="Times New Roman" w:hAnsi="Times New Roman" w:cs="Times New Roman"/>
          <w:sz w:val="24"/>
          <w:szCs w:val="24"/>
        </w:rPr>
        <w:t>сти для инвалидов, а именно: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105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95"/>
      </w:tblGrid>
      <w:tr w:rsidR="00036DF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стан;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Тавричанка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Башкортостан; Муниципальное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Башкортостан; Муниципальное бюджетное общеобразовательное учреждение основная общеобразовательная школа Мендяново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района Альшеевский район Республики Башкортостан;</w:t>
            </w:r>
          </w:p>
        </w:tc>
      </w:tr>
      <w:tr w:rsidR="00036DF8">
        <w:trPr>
          <w:trHeight w:val="43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стоянок для автотранспортных средств инвалидов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Нижнее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Аврюзово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Башкортостан; Муниципальное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джетное общеобразовательное учреждение средняя общеобразовательная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Тавричанка муниципальног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района Альшеевский район Республики Башкортостан;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Башкортостан; Муниципальное бюджетное общеобразовательное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основная общеобразовательная школа Абдрашитово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Воздвиженка муниципального района Альшеевски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общеобразовательное учреждение 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няя общеобразовательная школа Кармышево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Башкортостан;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Башкортостан;</w:t>
            </w:r>
          </w:p>
        </w:tc>
      </w:tr>
      <w:tr w:rsidR="00036DF8">
        <w:trPr>
          <w:trHeight w:val="23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Башкортостан; Муниципальное бюдже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тное общеобразовательное учреждение средняя общеобразовательная школа Кармышево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Красный Клин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района Альшеевский район Республики Башкортостан;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Башкортостан;</w:t>
            </w:r>
          </w:p>
        </w:tc>
      </w:tr>
      <w:tr w:rsidR="00036DF8">
        <w:trPr>
          <w:trHeight w:val="39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общеобразовательная школа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 Республики Башкортостан;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бщеобразовательная школа Нижнее Аврюзово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Башкортостан;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Тавричанка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Башкортостан; Муниципальное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Башкортостан; Муниципальное бюджетное общеобразовательное учреждение основная общеобразовательная школа Абдрашитово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Альшеевский район Республики Башкортостан;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Башкортостан; Муниципальное бюджетное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щеобразовательное учреждение средняя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Кармышево муниципального райо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Альшеевский район Республики Башкортостан;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Башкортостан; Муниципальное бюджетное общеобразовательное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основная общеобразовательная школа Мендяново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Нигматуллино муниципального района Альшеевски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район Республики Башкортостан;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Башкортостан;</w:t>
            </w:r>
          </w:p>
        </w:tc>
      </w:tr>
      <w:tr w:rsidR="00036DF8">
        <w:trPr>
          <w:trHeight w:val="32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санитарно-гигиенических 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ещений в организации</w:t>
            </w:r>
          </w:p>
        </w:tc>
        <w:tc>
          <w:tcPr>
            <w:tcW w:w="82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средняя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щеобразовательная школа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лики Башкортостан;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общеобразов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ательная школа Никифарово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Башкортостан;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Ташлы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Башкортостан; Муниципальное бюджетное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еобразовательное учреждение основная общеобразовательная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Абдрашитово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Воздвиженка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учреждение средняя общеобразовательная школа Кармышево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Красный Клин муниципального района Альшеевски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район Республики Башкортостан;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Башкортостан; Муниципальное бюджетное общеобразовательное учреждение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дняя общеобразовательная школа Нигматуллино муниципального района Альшеевский район Республики Башкортостан;</w:t>
            </w: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необходимо принять меры по обеспечению условий доступности, позволяющих инвалидам получать услуги наравне с другими, а именно: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1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265"/>
      </w:tblGrid>
      <w:tr w:rsidR="00036DF8">
        <w:trPr>
          <w:trHeight w:val="21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№4 с. Раевский муниципального района Альш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Муниципальное бюджетное общеобразовательное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Нижнее Аврюзово муниципального района Альшеевский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Республики Башкортостан;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еобразовательная школа Тавричанка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н;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Башкортостан; 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основная общеобразовательная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Абдрашитово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Башкортостан; Муниципаль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Кармышево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Башкортостан; Муниципальное бюджетное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еобразовательное учреждение средняя общеобразовательная школа Нигматуллино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Чураево муниципального райо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Альшеевский район Республики Башкортостан;</w:t>
            </w:r>
          </w:p>
        </w:tc>
      </w:tr>
      <w:tr w:rsidR="00036DF8">
        <w:trPr>
          <w:trHeight w:val="14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Нижнее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Аврюзово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Башкортостан; Муниципальное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джетное общеобразовательное учреждение средняя общеобразовательная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Тавричанка муниципальног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района Альшеевский район Республики Башкортостан;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Башкортостан; Муниципальное бюджетное общеобразовательное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средняя общеобразовательная школа Трунтаишево муниципального района Альшеевский район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Башкортостан; Муниципальное бюджетное общеобразовательное учреждение основная общеобразовательная школа Абдрашитово муниципального района Альшеевски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район Республики Башкортостан;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Башкортостан; Муниципальное бюджетное общеобразовательное учреждение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Башкортостан;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Башкортостан; Муниципальное бюджетное общеобразовательное учреждение основная общеобразо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 школа Мендяново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Башкортостан;</w:t>
            </w:r>
          </w:p>
        </w:tc>
      </w:tr>
      <w:tr w:rsidR="00036DF8">
        <w:trPr>
          <w:trHeight w:val="4125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(тифл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осурдопереводчика)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бразовательная школа Кипчак- Аскарово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Башкортостан;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Башкортостан; Муниципальное бюджетное общеобразовательное учреждение средняя общеобразов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Башкортостан;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Трунтаишево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униципального района Альшеевский район Республики Башкортостан; Муниципальное бюджетное общеобразовательное учреждение основная общеобразовательная школа Абдрашитово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Альшеевский район Республики Башкортостан; Муниципальное бюджетное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бщеобразовательное учреждение средняя общеобразовательная школа Воздвиженка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айона Альшеевский район Республики Башкортостан;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Башкортостан; Муниципальное бюджетное общеобразовательно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учреждение средняя общеобразовательная школа Нигматуллино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Чураево муниципального района Альшеевский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Республики Башкортостан;</w:t>
            </w:r>
          </w:p>
        </w:tc>
      </w:tr>
      <w:tr w:rsidR="00036DF8">
        <w:trPr>
          <w:trHeight w:val="7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альтернативной версии сайта организации для инвалидов по зрению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Муниципальное бюджетное общеобразовательное учреждение средняя общеобразоват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ельная школа Воздвиженка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Башкортостан;</w:t>
            </w:r>
          </w:p>
        </w:tc>
      </w:tr>
      <w:tr w:rsidR="00036DF8">
        <w:trPr>
          <w:trHeight w:val="165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 с. Раевский муни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Башкортостан; 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общеобразовательное учреждение средняя общеобразовательная школа Слак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Тавричанка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Альшеевский район Республики Башкортостан;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Башкортостан; Муниципальное бюджетное общеобразовательное учрежден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основная общеобразовательная школа Абдрашитово муниципального района Альшеевский район Республики Башкортостан; 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средняя общеобразовательная школа Воздвиженка муниципального района Альшеевский 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 Муниципальное бюджетное общеобразовательное учреждение средняя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школа Нигматуллино муниципального района Альшеевский район Республики Башкортостан;</w:t>
            </w:r>
          </w:p>
        </w:tc>
      </w:tr>
      <w:tr w:rsidR="00036DF8">
        <w:trPr>
          <w:trHeight w:val="1200"/>
        </w:trPr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услуг в дистанционном режиме или на дому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№4 с. Раевский муниципального района Альшеевский район Республики Башкортостан; 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 РЕЗУЛЬТАТЫ СБОРА, ОБОБЩЕНИЯ И АНАЛИЗА ИНФОРМАЦИИ О СООТВЕТСТВИИ САЙТОВ УСТАНОВЛЕННЫМ ТРЕБОВАНИЯМ В ЧАСТИ РАЗМЕЩЕНИЯ ОБЯЗАТЕЛЬНОЙ ИНФОРМАЦИИ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2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036DF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Федеральным законом от 29.12.2012 № 273-ФЗ «Об образовании в Российской Федерации» (далее – 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-273) образовательные организации (далее – ОО) должны обеспечивать открытость и доступность информации о своей деятельности посредством обеспечения размещения информации в информационно-телекоммуникационных сетях, в том числе на официальном сайте образоват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ельной организации в сети «Интернет» (далее – официальный сайт).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утверждены пост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ановлением Правительства Российской Федерации от 10.07.2013 № 582 (далее – ПП РФ №582). Требования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 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ажены в приказе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нём информации», зарегистрирован Минюсто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России 04.08.2014, регистрационный № 33423 (далее – приказ РОН №785).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1075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755"/>
      </w:tblGrid>
      <w:tr w:rsidR="00036DF8">
        <w:trPr>
          <w:trHeight w:val="450"/>
        </w:trPr>
        <w:tc>
          <w:tcPr>
            <w:tcW w:w="107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Требуемое количество единиц информации для размещения на сайте организации - 46.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сайтов организаций выявил определенное количество несоответствия размещаемой ими информации, что в результате привело к снижению значений оценок экспертов по показателям, характеризующим критерий оценки качества  «Открытость и доступность информации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организации социальной сферы».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привести содержание сайтов в надлежащее соответствие с существующей нормативно-правовой базой и ее требованиями, а именно разместить следующую информацию на сайтах организаций:</w:t>
      </w:r>
    </w:p>
    <w:tbl>
      <w:tblPr>
        <w:tblStyle w:val="af4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6705"/>
      </w:tblGrid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дате создания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учредителе, учредителях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</w:t>
            </w:r>
            <w:r>
              <w:rPr>
                <w:sz w:val="20"/>
                <w:szCs w:val="20"/>
              </w:rPr>
              <w:t>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контактных телефонах и об адресах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</w:t>
            </w:r>
            <w:r>
              <w:rPr>
                <w:sz w:val="20"/>
                <w:szCs w:val="20"/>
              </w:rPr>
              <w:t>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r>
              <w:rPr>
                <w:sz w:val="20"/>
                <w:szCs w:val="20"/>
              </w:rPr>
              <w:t>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положениях о структурных подразделениях (об органах управления) с приложением копий указанных положений (при их наличии))*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</w:t>
            </w:r>
            <w:r>
              <w:rPr>
                <w:sz w:val="20"/>
                <w:szCs w:val="20"/>
              </w:rPr>
              <w:t>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Лицензии на осуществление образовательной деятельности (с приложениями)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Свидетельства о государственной аккредитации (с приложениями)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</w:t>
            </w:r>
            <w:r>
              <w:rPr>
                <w:sz w:val="20"/>
                <w:szCs w:val="20"/>
              </w:rPr>
              <w:t>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t>информация по данному пун</w:t>
            </w:r>
            <w:r>
              <w:t>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</w:t>
            </w:r>
            <w:r>
              <w:rPr>
                <w:sz w:val="20"/>
                <w:szCs w:val="20"/>
              </w:rPr>
              <w:t>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</w:t>
            </w:r>
            <w:r>
              <w:rPr>
                <w:sz w:val="20"/>
                <w:szCs w:val="20"/>
              </w:rPr>
              <w:t xml:space="preserve">ными </w:t>
            </w:r>
            <w:r>
              <w:rPr>
                <w:sz w:val="20"/>
                <w:szCs w:val="20"/>
              </w:rPr>
              <w:lastRenderedPageBreak/>
              <w:t>представителями) несовершеннолетних обучающихся.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lastRenderedPageBreak/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внутреннего распорядка обучающихся, правила внутреннего трудового распорядка и коллективный договор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036DF8">
            <w:pPr>
              <w:widowControl w:val="0"/>
              <w:rPr>
                <w:sz w:val="20"/>
                <w:szCs w:val="20"/>
              </w:rPr>
            </w:pP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резуль</w:t>
            </w:r>
            <w:r>
              <w:rPr>
                <w:sz w:val="20"/>
                <w:szCs w:val="20"/>
              </w:rPr>
              <w:t>татах самообследования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</w:t>
            </w:r>
            <w:r>
              <w:rPr>
                <w:sz w:val="20"/>
                <w:szCs w:val="20"/>
              </w:rPr>
              <w:t>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Предписания органов, осуществляющих государственный контроль (надзор) в сфере образования, отчеты об исполнении таких предписаний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по данному пункту размещена полностью на сайтах всех </w:t>
            </w:r>
            <w:r>
              <w:rPr>
                <w:sz w:val="20"/>
                <w:szCs w:val="20"/>
              </w:rPr>
              <w:t>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реализуемых уровнях образования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</w:t>
            </w:r>
            <w:r>
              <w:rPr>
                <w:sz w:val="20"/>
                <w:szCs w:val="20"/>
              </w:rPr>
              <w:t xml:space="preserve"> нормативных сроках обучения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описании образовательных программ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</w:t>
            </w:r>
            <w:r>
              <w:rPr>
                <w:sz w:val="20"/>
                <w:szCs w:val="20"/>
              </w:rPr>
              <w:t>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по данному пункту размещена полностью на сайтах </w:t>
            </w:r>
            <w:r>
              <w:rPr>
                <w:sz w:val="20"/>
                <w:szCs w:val="20"/>
              </w:rPr>
              <w:t>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календарных учебных графиках с приложением их копий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методических и иных документах, разработанных образовательной организацией для об</w:t>
            </w:r>
            <w:r>
              <w:rPr>
                <w:sz w:val="20"/>
                <w:szCs w:val="20"/>
              </w:rPr>
              <w:t>еспечения образовательного процесса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реализуемых образовательных программах, в том числе о реализуемых адаптированных образовательных программах, с указанием учебных </w:t>
            </w:r>
            <w:r>
              <w:rPr>
                <w:sz w:val="20"/>
                <w:szCs w:val="20"/>
              </w:rPr>
              <w:t>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</w:t>
            </w:r>
            <w:r>
              <w:rPr>
                <w:sz w:val="20"/>
                <w:szCs w:val="20"/>
              </w:rPr>
              <w:t>ридических лиц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языках, на которых осуществляется образование (обучение)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</w:t>
            </w:r>
            <w:r>
              <w:rPr>
                <w:sz w:val="20"/>
                <w:szCs w:val="20"/>
              </w:rPr>
              <w:t xml:space="preserve"> организации, реализующие общеобразовательные программы, дополнительно указывают наименование образовательной программы*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</w:t>
            </w:r>
            <w:r>
              <w:rPr>
                <w:sz w:val="20"/>
                <w:szCs w:val="20"/>
              </w:rPr>
              <w:t>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</w:t>
            </w:r>
            <w:r>
              <w:rPr>
                <w:sz w:val="20"/>
                <w:szCs w:val="20"/>
              </w:rPr>
              <w:t>ов и образовательных стандартов размещать гиперссылки на соответствующие документы на сайте Минобрнауки России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руководителе образовательной организации, его заместит</w:t>
            </w:r>
            <w:r>
              <w:rPr>
                <w:sz w:val="20"/>
                <w:szCs w:val="20"/>
              </w:rPr>
              <w:t>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</w:t>
            </w:r>
            <w:r>
              <w:rPr>
                <w:sz w:val="20"/>
                <w:szCs w:val="20"/>
              </w:rPr>
              <w:t>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</w:t>
            </w:r>
            <w:r>
              <w:rPr>
                <w:sz w:val="20"/>
                <w:szCs w:val="20"/>
              </w:rPr>
              <w:t xml:space="preserve">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</w:t>
            </w:r>
            <w:r>
              <w:rPr>
                <w:sz w:val="20"/>
                <w:szCs w:val="20"/>
              </w:rPr>
              <w:t>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библиотек, объек</w:t>
            </w:r>
            <w:r>
              <w:rPr>
                <w:sz w:val="20"/>
                <w:szCs w:val="20"/>
              </w:rPr>
              <w:t>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обеспечении дост</w:t>
            </w:r>
            <w:r>
              <w:rPr>
                <w:sz w:val="20"/>
                <w:szCs w:val="20"/>
              </w:rPr>
              <w:t>упа в здания образовательной организации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условиях питания обучающихся, в том числе инвалидов и лиц с ограничен</w:t>
            </w:r>
            <w:r>
              <w:rPr>
                <w:sz w:val="20"/>
                <w:szCs w:val="20"/>
              </w:rPr>
              <w:t>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условиях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</w:t>
            </w:r>
            <w:r>
              <w:rPr>
                <w:sz w:val="20"/>
                <w:szCs w:val="20"/>
              </w:rPr>
              <w:t>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</w:t>
            </w:r>
            <w:r>
              <w:rPr>
                <w:sz w:val="20"/>
                <w:szCs w:val="20"/>
              </w:rPr>
              <w:t>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</w:t>
            </w:r>
            <w:r>
              <w:rPr>
                <w:sz w:val="20"/>
                <w:szCs w:val="20"/>
              </w:rPr>
              <w:t>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</w:t>
            </w:r>
            <w:r>
              <w:rPr>
                <w:sz w:val="20"/>
                <w:szCs w:val="20"/>
              </w:rPr>
              <w:t>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наличии и условиях предоставления обучающимся стипендий, мер социальной поддержки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наличии общежития, интерната, в том числе приспособленных д</w:t>
            </w:r>
            <w:r>
              <w:rPr>
                <w:sz w:val="20"/>
                <w:szCs w:val="20"/>
              </w:rPr>
              <w:t>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</w:t>
            </w:r>
            <w:r>
              <w:rPr>
                <w:sz w:val="20"/>
                <w:szCs w:val="20"/>
              </w:rPr>
              <w:t>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наличии и порядке оказания платных образовательных услуг (при наличии)*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Информация об объеме образовательной деятельности, фина</w:t>
            </w:r>
            <w:r>
              <w:rPr>
                <w:sz w:val="20"/>
                <w:szCs w:val="20"/>
              </w:rPr>
              <w:t>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</w:t>
            </w:r>
            <w:r>
              <w:rPr>
                <w:sz w:val="20"/>
                <w:szCs w:val="20"/>
              </w:rPr>
              <w:t>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  <w:tr w:rsidR="00036DF8">
        <w:trPr>
          <w:trHeight w:val="3000"/>
        </w:trPr>
        <w:tc>
          <w:tcPr>
            <w:tcW w:w="3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количестве вакантных мест для приема (перевода) по каждой </w:t>
            </w:r>
            <w:r>
              <w:rPr>
                <w:sz w:val="20"/>
                <w:szCs w:val="20"/>
              </w:rPr>
              <w:t>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</w:t>
            </w:r>
            <w:r>
              <w:rPr>
                <w:sz w:val="20"/>
                <w:szCs w:val="20"/>
              </w:rPr>
              <w:t xml:space="preserve"> физических и (или) юридических лиц)</w:t>
            </w:r>
          </w:p>
        </w:tc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было проанализировано наличие на официальных сайтах информации: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ями услуг и их функционировании: абонентский номер телефона, 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 дистанционных способах обратной связи и взаимодействия с получателями услуг и их функционировании: адрес электронной почты,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 сайта «Часто задаваемые вопросы»),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дистанционных способах обратной связи и взаимодействия с получателями услуг и их функционировании: техническая возможность выражения получателем услуг мнения о качестве условий оказания услуг организацией социальной сферы (</w:t>
      </w:r>
      <w:r>
        <w:rPr>
          <w:rFonts w:ascii="Times New Roman" w:eastAsia="Times New Roman" w:hAnsi="Times New Roman" w:cs="Times New Roman"/>
          <w:sz w:val="24"/>
          <w:szCs w:val="24"/>
        </w:rPr>
        <w:t>наличие анкеты для опроса граждан или гиперссылки на нее).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Отмечен высокий уровень доступности взаимодействия с получателями услуг по телефону, электронной почте.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 необходимо обеспечить размещение: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05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30"/>
        <w:gridCol w:w="3885"/>
      </w:tblGrid>
      <w:tr w:rsidR="00036DF8">
        <w:trPr>
          <w:trHeight w:val="2160"/>
        </w:trPr>
        <w:tc>
          <w:tcPr>
            <w:tcW w:w="6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 дистанционных способах обратной связи и взаимодействия с получателями услуг и их функционировании: электронные сервисы (для подачи электронного обращения (жалобы, предложения), получения консультации по оказываемым услугам, раздел официального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сайта «Часто задаваемые вопросы»)</w:t>
            </w:r>
          </w:p>
        </w:tc>
        <w:tc>
          <w:tcPr>
            <w:tcW w:w="38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данному пункту размещена полностью на сайтах всех организаций;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4) РЕЗУЛЬТАТЫ СБОРА, ОБОБЩЕНИЯ И АНАЛИЗА ИНФОРМАЦИИ О СООТВЕТСТВИИ СТЕНДОВ УСТАНОВЛЕННЫМ ТРЕБОВАНИЯМ В ЧАСТИ РАЗМЕЩЕНИЯ ОБЯЗАТЕЛЬНОЙ ИНФОРМАЦИ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обязательной к размещению на стенде информации: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6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036DF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месте нахождения образовательной организации и ее филиалов (при наличии)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режиме, графике работы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контактных телефонах и об адресах электронной почты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Лицензии на осущест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образовательной деятельности (с приложениями)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Свидетельства о государственной аккредитации (с приложениями)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внутреннего распорядка обучающихся, правила внутреннего трудового распорядка и коллективный договор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Документ о порядке оказания платных образовательных услуг (при наличии), в том числе образец договора об оказании платных образовательных услуг,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 об утверждении стоимости обучения по каждой образовательной программе*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об учебных планах реализуемых образовательных программ с приложением их копий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реализуемых образовательных программах, в том числе о реализуемых 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и дистанционных образовательных технологий (при наличии)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Информация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ководителя, его заместителей; должность руководителя, его заместителей; контактные телефоны; адреса электронной почты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условиях питания обучающихся, в том числе инвалидов и лиц с ограниченными возможностями здоровья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наличии 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словиях предоставления обучающимся стипендий, мер социальной поддержки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наличии и порядке оказания платных образовательных услуг (при наличии)*</w:t>
            </w:r>
          </w:p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Информация о количестве вакантных мест для приема (перевода) по каждой образовательной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лиц)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стендах информация размещена в соответствии с утвержденным перечнем.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РЕЗУЛЬТАТЫ СБОРА, ОБОБЩЕНИЯ И АНАЛИЗА ИНФОРМАЦИИ 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ОПРОСА ПОЛУЧАТЕЛЕЙ УСЛУГ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представлены в целом с учетом анкетирования всех организаций, участвующих в процедуре: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абсолютные показатели</w:t>
      </w:r>
    </w:p>
    <w:tbl>
      <w:tblPr>
        <w:tblStyle w:val="af7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90"/>
        <w:gridCol w:w="1620"/>
      </w:tblGrid>
      <w:tr w:rsidR="00036DF8">
        <w:trPr>
          <w:trHeight w:val="39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Чобщ - общее число опрошенных получателей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036DF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Устенд - число получателей услуг, удовлетворенных открытостью, полнотой и доступно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стью информации, размещенной на информационных стендах в помещении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1009</w:t>
            </w:r>
          </w:p>
        </w:tc>
      </w:tr>
      <w:tr w:rsidR="00036DF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Усайт - число получателей услуг, удовлетворенных открытостью, полнотой и доступностью информации, размещенной на официальном сайте организации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</w:tr>
      <w:tr w:rsidR="00036DF8">
        <w:trPr>
          <w:trHeight w:val="60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число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</w:tr>
      <w:tr w:rsidR="00036DF8">
        <w:trPr>
          <w:trHeight w:val="3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Чинв - число опрошенных получателей услуг-инвалидов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36DF8">
        <w:trPr>
          <w:trHeight w:val="5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 - число получателей услуг-инвалидов, удовлетворенных доступностью услуг для инвалидов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36DF8">
        <w:trPr>
          <w:trHeight w:val="87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Уперв.конт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</w:tr>
      <w:tr w:rsidR="00036DF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Уоказ.услуг - число получателей услуг, удовлетворенных доброжелательностью, вежливостью работников организации, обеспечивающих непосредственное оказание услуги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</w:tr>
      <w:tr w:rsidR="00036DF8">
        <w:trPr>
          <w:trHeight w:val="88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Увежл.дист - число получателей услуг, удовлетворенных доброжелательностью, вежливостью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отников организации при использовании дистанционных форм взаимодействия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</w:tr>
      <w:tr w:rsidR="00036DF8">
        <w:trPr>
          <w:trHeight w:val="97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Уреком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036DF8">
        <w:trPr>
          <w:trHeight w:val="630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Уорг.усл - число получателей услуг, удовлетворенных организационными условиям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предоставления услуг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</w:tr>
      <w:tr w:rsidR="00036DF8">
        <w:trPr>
          <w:trHeight w:val="645"/>
        </w:trPr>
        <w:tc>
          <w:tcPr>
            <w:tcW w:w="879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Ууд - число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2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относительные (расчетные) показатели: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041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775"/>
        <w:gridCol w:w="1635"/>
      </w:tblGrid>
      <w:tr w:rsidR="00036DF8">
        <w:trPr>
          <w:trHeight w:val="78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81,69%</w:t>
            </w:r>
          </w:p>
        </w:tc>
      </w:tr>
      <w:tr w:rsidR="00036DF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82,49%</w:t>
            </w:r>
          </w:p>
        </w:tc>
      </w:tr>
      <w:tr w:rsidR="00036DF8">
        <w:trPr>
          <w:trHeight w:val="33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77,27%</w:t>
            </w:r>
          </w:p>
        </w:tc>
      </w:tr>
      <w:tr w:rsidR="00036DF8">
        <w:trPr>
          <w:trHeight w:val="75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при непосредственном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82,65%</w:t>
            </w:r>
          </w:p>
        </w:tc>
      </w:tr>
      <w:tr w:rsidR="00036DF8">
        <w:trPr>
          <w:trHeight w:val="57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82,01%</w:t>
            </w:r>
          </w:p>
        </w:tc>
      </w:tr>
      <w:tr w:rsidR="00036DF8">
        <w:trPr>
          <w:trHeight w:val="510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доброжелательность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83,21%</w:t>
            </w:r>
          </w:p>
        </w:tc>
      </w:tr>
      <w:tr w:rsidR="00036DF8">
        <w:trPr>
          <w:trHeight w:val="58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83,86%</w:t>
            </w:r>
          </w:p>
        </w:tc>
      </w:tr>
      <w:tr w:rsidR="00036DF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в целом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овиями оказания услуг в организации социальной сферы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83,13%</w:t>
            </w:r>
          </w:p>
        </w:tc>
      </w:tr>
      <w:tr w:rsidR="00036DF8">
        <w:trPr>
          <w:trHeight w:val="345"/>
        </w:trPr>
        <w:tc>
          <w:tcPr>
            <w:tcW w:w="87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82,73%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ОСНОВАНИИ ВЫШЕИЗЛОЖЕННОГО РЕКОМЕНДУЕТСЯ РАССМОТРЕТЬ НА ЗАСЕДАНИИ ОБЩЕСТВЕННОГО СОВЕТА, В КОМПЕТЕНЦИЮ КОТОРОГО ВХОДЯТ ВОПРОСЫ ОРГАНИЗАЦИИ И ПРОВЕДЕНИЯ НЕЗАВИСИМОЙ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ОЦЕНКИ КАЧЕСТВА УСЛОВИЙ ОКАЗАНИЯ УСЛУГ ОРГАНИЗАЦИЯМИ, СЛЕДУЮЩИЕ ВОПРОСЫ: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 ОБЩАЯ ИНФОРМАЦ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ИЯ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036DF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организаций, принявших участие в процедуре независимой оценки качества условий оказания услуг - 18. Среднее значение - 78,04. Максимальное значение (в баллах) - 81,56. Минимальное значение - 71,36.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2) КОЛИЧЕСТВЕННЫЕ РЕЗУЛЬТАТЫ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Подробная информация о количественных результатах прилагается в электронном виде в формате excell.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Также прилагается шаблон для размещения на сайте bus.gov.ru (формируется по обращению Заказчика при предоставлении шаблона).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 </w:t>
      </w: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8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9060"/>
        <w:gridCol w:w="825"/>
      </w:tblGrid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81,56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</w:t>
            </w:r>
            <w:r>
              <w:rPr>
                <w:rFonts w:ascii="Times New Roman" w:eastAsia="Times New Roman" w:hAnsi="Times New Roman" w:cs="Times New Roman"/>
              </w:rPr>
              <w:t>ьная школа №4 с. Раевский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81,52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80,70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</w:t>
            </w:r>
            <w:r>
              <w:rPr>
                <w:rFonts w:ascii="Times New Roman" w:eastAsia="Times New Roman" w:hAnsi="Times New Roman" w:cs="Times New Roman"/>
              </w:rPr>
              <w:t>я школа Крымский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79,76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</w:t>
            </w: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79,54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78,82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</w:t>
            </w:r>
            <w:r>
              <w:rPr>
                <w:rFonts w:ascii="Times New Roman" w:eastAsia="Times New Roman" w:hAnsi="Times New Roman" w:cs="Times New Roman"/>
              </w:rPr>
              <w:t xml:space="preserve"> Абдрашитово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78,72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78,6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78,46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78,20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77,48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</w:t>
            </w:r>
            <w:r>
              <w:rPr>
                <w:rFonts w:ascii="Times New Roman" w:eastAsia="Times New Roman" w:hAnsi="Times New Roman" w:cs="Times New Roman"/>
              </w:rPr>
              <w:t>ая школа Мендяново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77,10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76,60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Гайниямак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75,92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Fonts w:ascii="Times New Roman" w:eastAsia="Times New Roman" w:hAnsi="Times New Roman" w:cs="Times New Roman"/>
              </w:rPr>
              <w:t>школа Ташлы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75,78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74,86</w:t>
            </w:r>
          </w:p>
        </w:tc>
      </w:tr>
      <w:tr w:rsidR="00036DF8">
        <w:trPr>
          <w:trHeight w:val="566"/>
        </w:trPr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9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71,36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3) ОСНОВНЫЕ РЕЗУЛЬТАТЫ</w:t>
      </w: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036DF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организаций, принявших участие в процедуре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независимой оценки качества условий оказания услуг - 18. Среднее значение - 78,04. Максимальное значение (в баллах) - 81,56. Минимальное значение - 71,36.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4) ОСНОВНЫЕ НЕДОСТАТКИ</w:t>
      </w: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c"/>
        <w:tblW w:w="106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036DF8">
        <w:trPr>
          <w:trHeight w:val="450"/>
        </w:trPr>
        <w:tc>
          <w:tcPr>
            <w:tcW w:w="10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числу основных выявленных недостатков можно отнести отсутствие следующих условий: наличие зоны отдыха (ожидания); наличие и понятность навигации внутри организации; наличие и доступность санитарно-гигиенических помещений; оборудование входных групп панду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помещений в организации; оборудование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наличие специально оборудованных санитарно-гигиенических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иной текстовой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графической информации знаками, выполненными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рельефно-точечным шрифтом Брайля; возможность предоставления инвалидам по слуху (слуху и зрению) услуг сурдопереводчика (тифлосурдопереводчика); альтернативной версии сайта организации для инвалидов по зрению; дублирование для инвалидов по слуху и зрению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рдопереводчика); альтернативной версии сайта организации для инвалидов по зрению;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5) ПРЕДЛОЖЕНИЯ ОБ УЛУЧШЕНИИ КАЧЕСТВА 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Довести полученные результаты до получателей услуг путем размещения информации в сети Интернет на предусмотренных для этой цели сайтах. Обсудить полученные результаты в трудовых коллективах.</w:t>
      </w:r>
    </w:p>
    <w:p w:rsidR="00036DF8" w:rsidRDefault="00036D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DF8" w:rsidRDefault="00290D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Организациям в индивидуальном порядке разработать и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овать конкретные планы по устранению выявленных недостатков и повышению качества условий оказания услуг с учетом полученных результатов. Принять во внимание результаты проведенного опроса.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 учетом выявленных недостатков отдельным организациям рекомен</w:t>
      </w:r>
      <w:r>
        <w:rPr>
          <w:rFonts w:ascii="Times New Roman" w:eastAsia="Times New Roman" w:hAnsi="Times New Roman" w:cs="Times New Roman"/>
          <w:sz w:val="28"/>
          <w:szCs w:val="28"/>
        </w:rPr>
        <w:t>дуется: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830"/>
      </w:tblGrid>
      <w:tr w:rsidR="00036DF8">
        <w:trPr>
          <w:trHeight w:val="1020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разместить необходимую информацию </w:t>
            </w:r>
          </w:p>
        </w:tc>
        <w:tc>
          <w:tcPr>
            <w:tcW w:w="7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официальных сайтах в соответствии с утвержденными требованиями;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7845"/>
      </w:tblGrid>
      <w:tr w:rsidR="00036DF8">
        <w:trPr>
          <w:trHeight w:val="700"/>
        </w:trPr>
        <w:tc>
          <w:tcPr>
            <w:tcW w:w="27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обеспечить комфортные условия оказания услуг:</w:t>
            </w:r>
          </w:p>
        </w:tc>
        <w:tc>
          <w:tcPr>
            <w:tcW w:w="7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зоны отдыха (ожидания);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860"/>
      </w:tblGrid>
      <w:tr w:rsidR="00036DF8">
        <w:trPr>
          <w:trHeight w:val="1260"/>
        </w:trPr>
        <w:tc>
          <w:tcPr>
            <w:tcW w:w="27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 принять меры по оборудованию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7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 наличие выделенных стоянок для автотранспортных средств инвалидо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5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875"/>
      </w:tblGrid>
      <w:tr w:rsidR="00036DF8">
        <w:trPr>
          <w:trHeight w:val="1800"/>
        </w:trPr>
        <w:tc>
          <w:tcPr>
            <w:tcW w:w="27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 принять меры по обеспечению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нвалидам получать услуги наравне с другими:</w:t>
            </w:r>
          </w:p>
        </w:tc>
        <w:tc>
          <w:tcPr>
            <w:tcW w:w="7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дублирование для инвалидов по слуху и зрению звуковой и зрительной информации; возможность предоставления инвалидам по слуху (слуху и зрению) услуг сурдопереводчика (тифлосурдопереводчика); альтернативной версии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 организации для инвалидов по зрению;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№ 2 с. Раевский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- 81,56; Численность обучающихся - 744; Чобщ - 162; Доля респондентов - 0,22; К1 - 92,8; Пинф - 100; Инорм - 46; Инорм - 16; Истенд - 16; Исайт - 46; Пдист - 100; Тдист - 30; Сдист - 4; Поткруд - 82; Устенд - 126; - 14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0; К2 - 91,5; Пкомф.усл - 100; Ткомф - 20; Скомф - 5; Укомф - 134; Пкомфуд - 83; К3 - 58,1; Поргдост - 0; Торгдост - 20; Соргдост - 0; Пуслугдост - 80; Туслугдост - 20; Суслугдост - 4; Пдостуд - 87; Чинв - 7; Удост - 8; К4 - 81,8; Пперв.конт уд - 83; Уперв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.конт - 134; Показ.услугуд - 80; Уоказ.услуг - 130; Пвежл.дистуд - 83; Увежл.дист - 135; К5 - 83,6; Преком - 88; Уреком - 142; Уорг.усл - 139; Порг.услуд - 86; Ууд - 130; Пуд - 80; Ууд - 130; Пуд - 80.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да;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ПРИМЕЧАНИЕ: Информация в данном разделе носит рекомендательный характер.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№4 с. Раевский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- 81,52;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Численность обучающихся - 639; Чобщ - 160; Доля респондентов - 0,25; К1 - 95,6; Пинф - 100; Инорм - 46; Инорм - 16; Истенд - 16; Исайт - 46; Пдист - 100; Тдист - 30; Сдист - 4; Поткруд - 89; Устенд - 144; - 140; К2 - 94,5; Пкомф.усл - 100; Ткомф - 20; 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 - 5; Укомф - 142; Пкомфуд - 89; К3 - 42; Поргдост - 40; Торгдост - 20; Соргдост - 2; Пуслугдост - 0; Туслугдост - 20; Суслугдост - 0; Пдостуд - 100; Чинв - 7; Удост - 7; К4 - 88,8; Пперв.конт уд - 89; Уперв.конт - 142; Показ.услугуд - 87; Уоказ.услуг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140; Пвежл.дистуд - 92; Увежл.дист - 148; К5 - 86,7; Преком - 87; Уреком - 139; Уорг.усл - 141; Порг.услуд - 88; Ууд - 138; Пуд - 86; Ууд - 138; Пуд - 86.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дому - нет.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таких предписаний (при наличии)* - да; 17. Информация о реализуемых уровнях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позволяющих инвалидам получать услуги наравне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другими: возможность предоставления инвалидам по слуху (слуху и зрению) услуг сурдопереводчика (тифлосурдопереводчика); Обеспечение в организации условий доступности, позволяющих инвалидам получать услуги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аравне с другими: альтернативной версии сайта организации для инвалидов по зрению;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Кипчак- Аскарово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ИТОГОВЫЕ И ИНЫЕ ПОКАЗАТЕЛИ ОЦЕНКИ: Sn - 71,36; Численность обучающихся - 85; Чобщ - 16; Доля респондентов - 0,19; К1 - 97,6; Пинф - 100; Инорм - 46; Инорм - 16; Истенд - 16; Исайт - 46; Пдист - 100; Тдист - 30; Сдист - 4; Поткруд - 94; Устенд - 15; - 15;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2 - 60,5; Пкомф.усл - 40; Ткомф - 20; Скомф - 2; Укомф - 13; Пкомфуд - 81; К3 - 20; Поргдост - 40; Торгдост - 20; Соргдост - 2; Пуслугдост - 20; Туслугдост - 20; Суслугдост - 1; Пдостуд - 0; Чинв - 0; Удост - 1; К4 - 88,6; Пперв.конт уд - 94; Уперв.конт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15; Показ.услугуд - 87; Уоказ.услуг - 14; Пвежл.дистуд - 81; Увежл.дист - 13; К5 - 90,1; Преком - 81; Уреком - 13; Уорг.усл - 15; Порг.услуд - 94; Ууд - 15; Пуд - 94; Ууд - 15; Пуд - 94.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наличие зоны отдыха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нет; санитарное состояние помещений организации - да; Обору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 на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азанных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Правила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зец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таких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ельных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ии к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ах,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мация о численности обучающихся по реализуемым образовательным программам за счет бюджетных ассигнований федерального бюджета, бюджетов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субъектов Российской Федерации, местных бюджетов и по договорам об образовании за счет средств физических и (или) юридич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еских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ьной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ья;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ых 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итогам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а, 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Обеспечение в организации комфортных условий, в которых осуществляется деятельно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сть: наличие и понятность навигации внутри организации; Обеспечение в организации комфортных условий, в которых осуществляется деятельность: наличие и доступность санитарно-гигиенических помещений; Оборудование территории, прилегающей к зданиям организации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Крымский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- 79,76;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нность обучающихся - 57; Чобщ - 166; Доля респондентов - 2,91; К1 - 90; Пинф - 100; Инорм - 46; Инорм - 16; Истенд - 16; Исайт - 46; Пдист - 100; Тдист - 30; Сдист - 4; Поткруд - 75; Устенд - 127; - 123; К2 - 90; Пкомф.усл - 100; Ткомф - 20; Скомф - 5; 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 - 133; Пкомфуд - 80; К3 - 58,1; Поргдост - 0; Торгдост - 20; Соргдост - 0; Пуслугдост - 80; Туслугдост - 20; Суслугдост - 4; Пдостуд - 87; Чинв - 7; Удост - 8; К4 - 79,2; Пперв.конт уд - 81; Уперв.конт - 134; Показ.услугуд - 76; Уоказ.услуг - 127; Пвежл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.дистуд - 82; Увежл.дист - 137; К5 - 81,5; Преком - 84; Уреком - 140; Уорг.усл - 132; Порг.услуд - 79; Ууд - 135; Пуд - 81; Ууд - 135; Пуд - 81.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да;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Нижнее Аврюзово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- 78,46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Численность обучающихся - 101; Чобщ - 15; Доля респондентов - 0,15; К1 - 90,8; Пинф - 100; Инорм - 46; Инорм - 16; Истенд - 16; Исайт - 46; Пдист - 100; Тдист - 30; Сдист - 4; Поткруд - 77; Устенд - 11; - 12; К2 - 76,5; Пкомф.усл - 80; Ткомф - 20; Скомф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- 4; Укомф - 11; Пкомфуд - 73; К3 - 72; Поргдост - 60; Торгдост - 20; Соргдост - 3; Пуслугдост - 60; Туслугдост - 20; Суслугдост - 3; Пдостуд - 100; Чинв - 1; Удост - 1; К4 - 74,4; Пперв.конт уд - 73;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Уперв.конт - 11; Показ.услугуд - 73; Уоказ.услуг - 11;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Пвежл.дистуд - 80; Увежл.дист - 12; К5 - 78,6; Преком - 80; Уреком - 12; Уорг.усл - 11; Порг.услуд - 73; Ууд - 12; Пуд - 80; Ууд - 12; Пуд - 80.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программы* - да; 30. Уровень 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Никифарово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- 76,6;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енность обучающихся - 88; Чобщ - 10; Доля респондентов - 0,11; К1 - 92; Пинф - 100; Инорм - 46; Инорм - 16; Истенд - 16; Исайт - 46; Пдист - 100; Тдист - 30; Сдист - 4; Поткруд - 80; Устенд - 8; - 8; К2 - 80; Пкомф.усл - 80; Ткомф - 20; Скомф - 4; Укомф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8; Пкомфуд - 80; К3 - 44; Поргдост - 40; Торгдост - 20; Соргдост - 2; Пуслугдост - 80; Туслугдост - 20; Суслугдост - 4; Пдостуд - 0; Чинв - 0; Удост - 1; К4 - 82; Пперв.конт уд - 80; Уперв.конт - 8;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Показ.услугуд - 80; Уоказ.услуг - 8; Пвежл.дистуд - 90;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вежл.дист - 9; К5 - 85; Преком - 90; Уреком - 9; Уорг.усл - 9; Порг.услуд - 90; Ууд - 8; Пуд - 80; Ууд - 8; Пуд - 80.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формации - да;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программы* - да; 30. Уровень образов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Слак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- 78,82; Численнос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обучающихся - 74; Чобщ - 51; Доля респондентов - 0,69; К1 - 91,6; Пинф - 100; Инорм - 46; Инорм - 16; Истенд - 16; Исайт - 46; Пдист - 100; Тдист - 30; Сдист - 4; Поткруд - 79; Устенд - 41; - 40; К2 - 90; Пкомф.усл - 100; Ткомф - 20; Скомф - 5; Укомф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41; Пкомфуд - 80; К3 - 48,1; Поргдост - 40; Торгдост - 20; Соргдост - 2; Пуслугдост - 40; Туслугдост - 20; Суслугдост - 2; Пдостуд - 67; Чинв - 2; Удост - 3; К4 - 79,6; Пперв.конт уд - 84;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Уперв.конт - 43; Показ.услугуд - 76; Уоказ.услуг - 39; Пвежл.дистуд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- 78; Увежл.дист - 40; К5 - 84,8; Преком - 82; Уреком - 42; Уорг.усл - 44; Порг.услуд - 86; Ууд - 44; Пуд - 86; Ууд - 44; Пуд - 86.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Тавричанка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- 79,54;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ленность обучающихся - 102; Чобщ - 71; Доля респондентов - 0,7; К1 - 94,4; Пинф - 100; Инорм - 46; Инорм - 16; Истенд - 16; Исайт - 46; Пдист - 100; Тдист - 30; Сдист - 4; Поткруд - 86; Устенд - 57; - 65; К2 - 97; Пкомф.усл - 100; Ткомф - 20; Скомф - 5; 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омф - 67; Пкомфуд - 94; К3 - 38,5; Поргдост - 0; Торгдост - 20; Соргдост - 0; Пуслугдост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40; Туслугдост - 20; Суслугдост - 2; Пдостуд - 75; Чинв - 3; Удост - 4; К4 - 85,2; Пперв.конт уд - 90; Уперв.конт - 64; Показ.услугуд - 82; Уоказ.услуг - 58; Пвежл.д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истуд - 82; Увежл.дист - 58; К5 - 82,6; Преком - 84; Уреком - 60; Уорг.усл - 62; Порг.услуд - 87; Ууд - 57; Пуд - 80; Ууд - 57; Пуд - 80.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ких лиц - да; 28. Информация о языках, на которых осуществляется образование (обучение) - да; 29.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Ташлы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И ИНЫЕ ПОКАЗАТЕЛИ ОЦЕНКИ: Sn - 75,78; Численно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обучающихся - 34; Чобщ - 31; Доля респондентов - 0,91; К1 - 89,2; Пинф - 100; Инорм - 46; Инорм - 16; Истенд - 16; Исайт - 46; Пдист - 100; Тдист - 30; Сдист - 4; Поткруд - 73; Устенд - 22; - 23; К2 - 87; Пкомф.усл - 100; Ткомф - 20; Скомф - 5; Укомф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23; Пкомфуд - 74; К3 - 58; Поргдост - 40; Торгдост - 20; Соргдост - 2; Пуслугдост - 40; Туслугдост - 20; Суслугдост - 2; Пдостуд - 100; Чинв - 2; Удост - 2; К4 - 74; Пперв.конт уд - 71; Уперв.конт - 22; Показ.услугуд - 77; Уоказ.услуг - 24; Пвежл.дистуд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74; Увежл.дист - 23; К5 - 70,7; Преком - 71; Уреком - 22; Уорг.усл - 24; Порг.услуд - 77; Ууд - 21; Пуд - 68; Ууд - 21; Пуд - 68.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дисциплин (модулей), практики, предусмотренных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Трунтаишево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И ИНЫЕ ПОКАЗАТЕЛИ ОЦЕНКИ: Sn - 77,48;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сленность обучающихся - 81; Чобщ - 52; Доля респондентов - 0,64; К1 - 90,4; Пинф - 100; Инорм - 46; Инорм - 16; Истенд - 16; Исайт - 46; Пдист - 100; Тдист - 30; Сдист - 4; Поткруд - 76; Устенд - 41; - 38; К2 - 87,5; Пкомф.усл - 100; Ткомф - 20; Скомф - 5;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Укомф - 39; Пкомфуд - 75; К3 - 51,9; Поргдост - 60; Торгдост - 20; Соргдост - 3; Пуслугдост - 60; Туслугдост - 20; Суслугдост - 3; Пдостуд - 33; Чинв - 1; Удост - 3; К4 - 79,4; Пперв.конт уд - 77; Уперв.конт - 40; Показ.услугуд - 83; Уоказ.услуг - 43; Пве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жл.дистуд - 77; Увежл.дист - 40; К5 - 78,2; Преком - 85; Уреком - 44; Уорг.усл - 42; Порг.услуд - 81; Ууд - 38; Пуд - 73; Ууд - 38; Пуд - 73.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да; наличие адаптиро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 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финансово-хозя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сциплин (модулей), практики, предусмотренных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тех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tbl>
      <w:tblPr>
        <w:tblStyle w:val="a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основная общеобразовательная школа Абдрашитово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И ИНЫЕ ПОКАЗАТЕЛИ ОЦЕНКИ: Sn - 78,72;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исленность обучающихся - 54; Чобщ - 11; Доля респондентов - 0,2; К1 - 94,4; Пинф - 100; Инорм - 46; Инорм - 16; Истенд - 16; Исайт - 46; Пдист - 100; Тдист - 30; Сдист - 4; Поткруд - 86; Устенд - 10; - 9; К2 - 95,5; Пкомф.усл - 100; Ткомф - 20; Скомф - 5;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Укомф - 10; Пкомфуд - 91; К3 - 28; Поргдост - 40; Торгдост - 20; Соргдост - 2; Пуслугдост - 40; Туслугдост - 20; Суслугдост - 2; Пдостуд - 0; Чинв - 0; Удост - 1; К4 - 89,2; Пперв.конт уд - 91; Уперв.конт - 10; Показ.услугуд - 91; Уоказ.услуг - 10; Пвежл.д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истуд - 82; Увежл.дист - 9; К5 - 86,5; Преком - 82; Уреком - 9; Уорг.усл - 9; Порг.услуд - 82; Ууд - 10; Пуд - 91; Ууд - 10; Пуд - 91.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дисциплин (модулей), практики, предусмотренных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Воздвиженка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И ИНЫЕ ПОКАЗАТЕЛИ ОЦЕНКИ: Sn - 78,2; Чис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ленность обучающихся - 68; Чобщ - 48; Доля респондентов - 0,71; К1 - 94,8; Пинф - 100; Инорм - 46; Инорм - 16; Истенд - 16; Исайт - 46; Пдист - 100; Тдист - 30; Сдист - 4; Поткруд - 87; Устенд - 41; - 43; К2 - 85; Пкомф.усл - 80; Ткомф - 20; Скомф - 4; 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 - 43; Пкомфуд - 90; К3 - 40,1; Поргдост - 40; Торгдост - 20; Соргдост - 2; Пуслугдост - 20; Туслугдост - 20; Суслугдост - 1; Пдостуд - 67; Чинв - 2; Удост - 3; К4 - 83,8; Пперв.конт уд - 81; Уперв.конт - 39; Показ.услугуд - 87; Уоказ.услуг - 42; Пвежл.д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истуд - 83; Увежл.дист - 40; К5 - 87,3; Преком - 81; Уреком - 39; Уорг.усл - 41; Порг.услуд - 85; Ууд - 44; Пуд - 92; Ууд - 44; Пуд - 92.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дисциплин (модулей), практики, предусмотренных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данном разделе носит рекомендат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ИНДИВИДУАЛЬНЫЕ РЕЗУЛЬТАТЫ. ОРГАНИЗАЦИЯ: Муниципальное бюджетное общеобразовательное учреждение средняя общеобразовательная школа Гайниямак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- 75,92;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 обучающихся - 52; Чобщ - 71; Доля респондентов - 1,37; К1 - 94,8; Пинф - 100; Инорм - 46; Инорм - 16; Истенд - 16; Исайт - 46; Пдист - 100; Тдист - 30; Сдист - 4; Поткруд - 87; Устенд - 64; - 59; К2 - 70; Пкомф.усл - 60; Ткомф - 20; Скомф - 3; Уком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 - 57; Пкомфуд - 80; К3 - 34,5; Поргдост - 40; Торгдост - 20; Соргдост - 2; Пуслугдост - 0; Туслугдост - 20; Суслугдост - 0; Пдостуд - 75; Чинв - 3; Удост - 4; К4 - 91,4; Пперв.конт уд - 93; Уперв.конт - 66; Показ.услугуд - 90; Уоказ.услуг - 64; Пвежл.дис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 - 91; Увежл.дист - 65; К5 - 88,9; Преком - 82; Уреком - 58; Уорг.усл - 67; Порг.услуд - 94; Ууд - 65; Пуд - 91; Ууд - 65; Пуд - 91.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нет;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 дому - нет.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азанных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о-хозяйственной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Правила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зец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таких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ии к рабочим программам дисциплин (по каждой дисциплине в составе образовательной программы) с приложением их копий (при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наличии) - да; 24. Информация о календарных учебных графиках с приложением их копий - да; 25. Информация о методических и иных 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ах,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ов,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еских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ьной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валидов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ья;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 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Обеспечение в организации комфортных условий, в которых осуществляется деятельно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сть: наличие и понятность навигации внутри организации;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Обеспечение в организации условий доступности, позволяющих инвалидам получать услуги нара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 с другими: альтернативной версии сайта организации для инвалидов по зрению; ПРИМЕЧАНИЕ: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Кармышево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- 79,66;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 обучающихся - 41; Чобщ - 170; Доля респондентов - 4,15; К1 - 92,8; Пинф - 100; Инорм - 46; Инорм - 16; Истенд - 16; Исайт - 46; Пдист - 100; Тдист - 30; Сдист - 4; Поткруд - 82; Устенд - 143; - 135; К2 - 89,5; Пкомф.усл - 100; Ткомф - 20; Скомф - 5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Укомф - 134; Пкомфуд - 79; К3 - 54,5; Поргдост - 0; Торгдост - 20; Соргдост - 0; Пуслугдост - 80; Туслугдост - 20; Суслугдост - 4; Пдостуд - 75; Чинв - 6; Удост - 8; К4 - 82,4; Пперв.конт уд - 81; Уперв.конт - 137; Показ.услугуд - 84; Уоказ.услуг - 143;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Пвежл.дистуд - 82; Увежл.дист - 140; К5 - 79,1; Преком - 82; Уреком - 139; Уорг.усл - 128; Порг.услуд - 75; Ууд - 135; Пуд - 79; Ууд - 135; Пуд - 79.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да;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ких предписаний (при наличии)* - да; 17. Информация о реализуемых уровнях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вание для инвалидов по слуху и зрению звуковой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Красный Клин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- 80,7;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сленность обучающихся - 36; Чобщ - 163; Доля респондентов - 4,53; К1 - 91,6; Пинф - 100; Инорм - 46; Инорм - 16; Истенд - 16; Исайт - 46; Пдист - 100; Тдист - 30; Сдист - 4; Поткруд - 79; Устенд - 123; - 135; К2 - 91,5; Пкомф.усл - 100; Ткомф - 20; Скомф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5; Укомф - 135; Пкомфуд - 83; К3 - 58,1; Поргдост - 0; Торгдост - 20; Соргдост - 0; Пуслугдост - 80; Туслугдост - 20; Суслугдост - 4; Пдостуд - 87; Чинв - 7; Удост - 8; К4 - 78,2; Пперв.конт уд - 77; Уперв.конт - 126; Показ.услугуд - 79; Уоказ.услуг - 129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Пвежл.дистуд - 79; Увежл.дист - 129; К5 - 84,1; Преком - 83; Уреком - 135; Уорг.усл - 132; Порг.услуд - 81; Ууд - 141; Пуд - 86; Ууд - 141; Пуд - 86.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да; наличие альтернативной версии сайта организации для инвалидов по зрению - да; Обеспечение в организации условий доступности, позволяющих инва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договора об оказании платных образовательных услуг, документ об утверждении стоимости обучения по каждой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b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платформами); Оборудование территории,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рилегающей к зданиям организации, и помещений с учетом доступности для инвалидов: наличие выделенных стоянок для автотранспортных средств инвалидов; Оборудование территории, прилегающей к зданиям организации, и помещений с учетом доступности для инвалидов: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адаптированных лифтов, поручней, расширенных дверных проемов; Оборудование территории, прилегающей к зданиям организации, и помещений с учетом доступности для инвалидов: наличие сменных кресел-колясок; Оборудование территории, прилегающей к здания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организации, и помещений с учетом доступности для инвалидов: наличие специально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оборудованных санитарно-гигиенических помещений в организации; Обеспечение в организации условий доступности, позволяющих инвалидам получать услуги наравне с другими: дублиро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выполненными рельефно-точечным шрифтом Брайля;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c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основная общеобразовательная школа Мендяново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d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- 77,1; Численность обучающихся - 35; Чобщ - 17; Доля респондентов - 0,49; К1 - 89,2; Пинф - 100; Инорм - 46; Инорм - 16; Истенд - 16; Исайт - 46; Пдист - 100; Тдист - 30; Сдист - 4; Поткруд - 73; Устенд - 12; - 13; К2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- 78; Пкомф.усл - 80; Ткомф - 20; Скомф - 4; Укомф - 13; Пкомфуд - 76; К3 - 62; Поргдост - 0; Торгдост - 20; Соргдост - 0; Пуслугдост - 80; Туслугдост - 20; Суслугдост - 4; Пдостуд - 100; Чинв - 1; Удост - 1; К4 - 82; Пперв.конт уд - 82; Уперв.конт - 14;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Показ.услугуд - 82; Уоказ.услуг - 14; Пвежл.дистуд - 82; Увежл.дист - 14; К5 - 74,3; Преком - 82; Уреком - 14; Уорг.усл - 12; Порг.услуд - 71; Ууд - 12; Пуд - 71; Ууд - 12; Пуд - 71.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e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нет; наличие выделенных стоянок для автотранспортных средств инвалидов - нет; наличие адапт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ированных лифтов, поручней, расширенных дверных проемов - нет;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 - да;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равила внутреннего распорядка обучающихся, правила внутреннего трудового распорядка и коллективный договор - да; 14. Отчет о результатах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самообследования - да; 15. Документ о порядке оказания платных образовательных услуг (при наличии), в том числе образец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f0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доступности для инвалидов: оборудование входных групп пандусами (подъемными платформами); Оборудование территории, прилегающей к зданиям организации, и помещений с учетом доступности для инвалидов: наличие выделенных стоянок для автотранспортных средств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нвалидов; Оборудование территории, прилегающей к зданиям организации, и помещений с учетом доступности для инвалидов: наличие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адаптированных лифтов, поручней, расширенных дверных проемов; Оборудование территории, прилегающей к зданиям организации, и помеще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ний с учетом доступности для инвалидов: наличие сменных кресел-колясок; 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ации;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низации условий доступности, позволяющих инвалидам получать услуги наравне с другими: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1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Нигматуллино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2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- 78,6; 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сленность обучающихся - 47; Чобщ - 25; Доля респондентов - 0,53; К1 - 94,4; Пинф - 100; Инорм - 46; Инорм - 16; Истенд - 16; Исайт - 46; Пдист - 100; Тдист - 30; Сдист - 4; Поткруд - 86; Устенд - 20; - 23; К2 - 80; Пкомф.усл - 80; Ткомф - 20; Скомф - 4; 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омф - 20; Пкомфуд - 80; К3 - 49; Поргдост - 60; Торгдост - 20; Соргдост - 3; Пуслугдост - 40; Туслугдост - 20; Суслугдост - 2; Пдостуд - 50; Чинв - 1; Удост - 2; К4 - 81,6; Пперв.конт уд - 80; Уперв.конт - 20; Показ.услугуд - 84; Уоказ.услуг - 21; Пвежл.ди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 - 80; Увежл.дист - 20; К5 - 88; Преком - 92; Уреком - 23; Уорг.усл - 23; Порг.услуд - 92; Ууд - 21; Пуд - 84; Ууд - 21; Пуд - 84.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3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нет;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да; наличие адаптир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нет; дублирование для инвалидов по слуху и зрению звуковой и зрительной инф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да; Обеспечение в организации условий доступности, позволяющих инвал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нет; возможность предоставления услуг в дистанционном режиме или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 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4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ее филиалов (при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положений (при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зяйственной деятельности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отчисления и восстановления обучающихся, порядок оформления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авила внутреннего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об оказании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ких предписаний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ых программ (при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рабочим программам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разработанных образовательной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(модулей),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лиц - да; 28.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- да; 31.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дартов размещать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переподготовке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инвалидов и лиц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дов и лиц с ограниченными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да; 39. 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ехнических средств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ежитии (при наличии)*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 финансового 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юджетов субъектов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f5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Обеспечение в организации комфортных условий, в которых осуществляется деятельность: наличие зоны отдыха (ожидания); Оборудование территории, прилегающей к зданиям организации, и помещений с учетом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доступности для инвалидов: наличие сменных кресел-колясок;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Оборудование территории, прилегающей к зданиям организации, и помещений с учетом доступности для инвалидов: наличие специально оборудованных санитарно-гигиенических помещений в организации; Обеспе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чение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возможность предоставления инвалидам по слуху (слуху и зрению) услуг сурдопереводчика (тифлосурдопереводчика); ПРИМЕЧАНИЕ: Информация в данном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6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РЕЗУЛЬТАТЫ. ОРГАНИЗАЦИЯ: Муниципальное бюджетное общеобразовательное учреждение средняя общеобразовательная школа Чураево муниципального района Альшеевский район Республики Башкортостан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7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И ИНЫЕ ПОКАЗАТЕЛИ ОЦЕНКИ: Sn - 74,86; Числен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ность обучающихся - 41; Чобщ - 6; Доля респондентов - 0,15; К1 - 86,8; Пинф - 100; Инорм - 46; Инорм - 16; Истенд - 16; Исайт - 46; Пдист - 100; Тдист - 30; Сдист - 4; Поткруд - 67; Устенд - 4; - 4; К2 - 83,5; Пкомф.усл - 100; Ткомф - 20; Скомф - 5; Укомф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- 4; Пкомфуд - 67; К3 - 70; Поргдост - 80; Торгдост - 20; Соргдост - 4; Пуслугдост - 40; Туслугдост - 20; Суслугдост - 2; Пдостуд - 100; Чинв - 1; Удост - 1; К4 - 67; Пперв.конт уд - 67; Уперв.конт - 4; Показ.услугуд - 67; Уоказ.услуг - 4; Пвежл.дистуд - 6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7; Увежл.дист - 4; К5 - 67; Преком - 67; Уреком - 4; Уорг.усл - 4; Порг.услуд - 67; Ууд - 4; Пуд - 67; Ууд - 4; Пуд - 67. Сокращения и пояснения приведены на странице 2.</w:t>
            </w:r>
          </w:p>
        </w:tc>
      </w:tr>
    </w:tbl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НАЛИЧИИ (ОТСУТСТВИИ) УСЛОВИЙ ОКАЗАНИЯ УСЛУГ: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функционировании: абонентский номер телефона - да; адрес электр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онной почты - да; электронные сервисы - да; техническая возможность выражения получателем услуг мнения о качестве условий оказания услуг организацией социальной сферы - да; Обеспечение в организации комфортных условий, в которых осуществляется деятельность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наличие зоны отдыха (ожидания) - да; наличие и понятность навигации внутри организации - да; наличие и доступность питьевой воды - да; наличие и доступность санитарно-гигиенических помещений - да; санитарное состояние помещений организации - да; Оборудов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ание территории, прилегающей к зданиям организации, и помещений с учетом доступности для инвалидов: оборудование входных групп пандусами (подъемными платформами) - да; наличие выделенных стоянок для автотранспортных средств инвалидов - да; наличие адаптиро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ванных лифтов, поручней, расширенных дверных проемов - да; наличие сменных кресел-колясок - нет; наличие специально оборудованных санитарно-гигиенических помещений в организации - да; дублирование для инвалидов по слуху и зрению звуковой и зрительной инфор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мации - нет; Обеспечение в организации условий доступности, позволяющих инвалидам получать услуги наравне с другими: дублирование надписей, знаков и иной текстовой и графической информации знаками, выполненными рельефно-точечным шрифтом Брайля - нет; возмо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жность предоставления инвалидам по слуху (слуху и зрению) услуг сурдопереводчика (тифлосурдопереводчика) - нет; наличие альтернативной версии сайта организации для инвалидов по зрению - нет; Обеспечение в организации условий доступности, позволяющих инвали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дам получать услуги наравне с другими: помощь, оказываемая работниками организации, прошедшими необходимое обучение (инструктирование), по сопровождению инвалидов в помещении организации - да; возможность предоставления услуг в дистанционном режиме или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дому - да.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ffffff9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САЙТЕ ИНФОРМАЦИИ: 1. Информация о дате создания образовательной организации - да; 2. Информация об учредителе, учредителях образовательной организации - да; 3. Информация о месте нахождения образовательной организации и ее филиалов (п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 наличии) - да; 4. Информация о режиме, графике работы - да; 5. Информация о контактных телефонах и об адресах электронной почты - да; 7. Сведения о положениях о структурных подразделениях (об органах управления) с приложением копий указанных положений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 их наличии))* - да; 8. Устав образовательной организации - да; 9. Лицензии на осуществление образовательной деятельности (с приложениями) - да; 10. Свидетельства о государственной аккредитации (с приложениями) - да; 11. План финансово-хозяйственной дея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 образовательной организации, утвержденного в установленном законодательством Российской Федерации порядке, или бюджетные сметы образовательной организации - да; 12. Локальные нормативные акты по основным вопросам организации и осуществления образ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сстановления обучающихся, порядок оформления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- да; 13. Правила внутренне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распорядка обучающихся, правила внутреннего трудового распорядка и коллективный договор - да; 14. Отчет о результатах самообследования - да; 15. Документ о порядке оказания платных образовательных услуг (при наличии), в том числе образец договора об 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зании платных образовательных услуг, документ об утверждении стоимости обучения по каждой образовательной программе* - да; 16. Предписания органов, осуществляющих государственный контроль (надзор) в сфере образования, отчеты об исполнении таких предписаний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наличии)* - да; 17. Информация о реализуемых уровнях образования - да; 18. Информация о формах обучения - да; 19. Информация о нормативных сроках обучения - да; 20. Информация о сроке действия государственной аккредитации образовательных программ (пр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наличии государственной аккредитации) - да; 21. Информация об описании образовательных программ с приложением их копий - да; 22. Информация об учебных планах реализуемых образовательных программ с приложением их копий - да; 23. Аннотации к рабочим програ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ммам дисциплин (по каждой дисциплине в составе образовательной программы) с приложением их копий (при наличии) - да; 24. Информация о календарных учебных графиках с приложением их копий - да; 25. Информация о методических и иных документах, разработанных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бразовательной организацией для обеспечения образовательного процесса - да; 26. 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лей), практики, предусмотренных соответствующей образовательной программой, об использовании при реализации указанных образовательных программ электронного обучения и дистанционных образовательных технологий (при наличии) - да; 27. Информация о численности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- да; 28.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языках, на которых осуществляется образование (обучение) - да; 29. Образовательные организации, реализующие общеобразовательные программы, дополнительно указывают наименование образовательной программы* - да; 30. Уровень образования - да; 31.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Информация о федеральных государственных образовательных стандартах и об образовательных стандартах с приложением их копий (при наличии). Допускается вместо копий федеральных государственных образовательных стандартов и образовательных стандартов размещат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 гиперссылки на соответствующие документы на сайте Минобрнауки России - да; 33.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наличии); общий стаж работы; стаж работы по специальности - да; 34. 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практических занятий, биб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- да; 35. Информация о обеспечении доступа в здания образовательной организации инвалидов и 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 с ограниченными возможностями здоровья - да; 36. Информация о условиях питания обучающихся, в том числе инвалидов и лиц с ограниченными возможностями здоровья - да; 37. Информация об условиях охраны здоровья обучающихся, в том числе инвалидов и лиц с огр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аниченными возможностями здоровья - да; 38. 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- да; 39. Инфор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- да; 40. Информация о наличии специальных технических сред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 обучения коллективного и индивидуального пользования для инвалидов и лиц с ограниченными возможностями здоровья - да; 41. Информация о наличии и условиях предоставления обучающимся стипендий, мер социальной поддержки - да; 42. Информация о наличии обще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 (при 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ичии)* - да; 43. Информация о наличии и порядке оказания платных образовательных услуг (при наличии)* - да; 44. Информация об объеме образовательной деятельности, финансовое обеспечение которой осуществляется за счет бюджетных ассигнований федерального бюд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жета, бюджетов субъектов Российской Федерации, местных бюджетов, по договорам об образовании за счет средств физических и (или) юридических лиц - да; 45. Информация о поступлении финансовых и материальных средств и об их расходовании по итогам финансового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года - да; 46. 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 Российской Федерации, местных бюджетов, по договорам об образовании за счет средств физических и (или) юридических лиц) - да.</w:t>
            </w:r>
          </w:p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РАЗМЕЩЕННОЙ НА СТЕНДЕ ИНФОРМАЦИИ: недостатки не выявлены.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ffffffa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036DF8">
        <w:trPr>
          <w:trHeight w:val="450"/>
        </w:trPr>
        <w:tc>
          <w:tcPr>
            <w:tcW w:w="10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36DF8" w:rsidRDefault="00290D7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 ОБЕСПЕЧИТЬ СЛЕДУЮЩИЕ УСЛОВИЯ ОКАЗАНИЯ УСЛУГ. Оборудование территории, прилегающей к зданиям организации, и помещений с учетом доступности для инвалидов: наличие сменных кресел-колясок; Обеспечение в организации условий доступности, позволяющи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 инвалидам получать услуги наравне с другими: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дублирование для инвалидов по слуху и зрению звуковой и зрительной информации; Обеспечение в организации условий доступности, позволяющих инвалидам получать услуги наравне с другими: дублирование надписей, 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 и иной текстовой и графической информации знаками, выполненными рельефно-точечным шрифтом Брайля; Обеспечение в организации условий доступности, позволяющих инвалидам получать услуги наравне с другими: возможность предоставления инвалидам по слуху (слу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 и зрению) услуг сурдопереводчика (тифлосурдопереводчика); Обеспечение в организации условий доступности, позволяющих инвалидам получать услуги наравне с другими: альтернативной версии сайта организации для инвалидов по зрению; ПРИМЕЧАНИЕ: Информация в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анном разделе носит рекомендательный характер. Рекомендации вносятся и утверждаются Общественным советом.</w:t>
            </w:r>
          </w:p>
        </w:tc>
      </w:tr>
    </w:tbl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6DF8" w:rsidRDefault="00290D7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DF8" w:rsidRDefault="00036D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36DF8">
      <w:pgSz w:w="11906" w:h="16838"/>
      <w:pgMar w:top="1133" w:right="566" w:bottom="56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0D7D" w:rsidRDefault="00290D7D">
      <w:pPr>
        <w:spacing w:line="240" w:lineRule="auto"/>
      </w:pPr>
      <w:r>
        <w:separator/>
      </w:r>
    </w:p>
  </w:endnote>
  <w:endnote w:type="continuationSeparator" w:id="0">
    <w:p w:rsidR="00290D7D" w:rsidRDefault="00290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DF8" w:rsidRDefault="00036DF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036DF8" w:rsidRDefault="00036DF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  <w:p w:rsidR="00036DF8" w:rsidRDefault="00290D7D">
    <w:pPr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Контактная информация организации-оператора по сбору, обобщению и анализу информации  </w:t>
    </w:r>
    <w:hyperlink r:id="rId1">
      <w:r>
        <w:rPr>
          <w:rFonts w:ascii="Times New Roman" w:eastAsia="Times New Roman" w:hAnsi="Times New Roman" w:cs="Times New Roman"/>
          <w:i/>
          <w:color w:val="1155CC"/>
          <w:sz w:val="18"/>
          <w:szCs w:val="18"/>
          <w:highlight w:val="white"/>
          <w:u w:val="single"/>
        </w:rPr>
        <w:t>expert@nsok.su</w:t>
      </w:r>
    </w:hyperlink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+7-963-144-36-28</w:t>
    </w:r>
  </w:p>
  <w:p w:rsidR="00036DF8" w:rsidRDefault="00036D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0D7D" w:rsidRDefault="00290D7D">
      <w:pPr>
        <w:spacing w:line="240" w:lineRule="auto"/>
      </w:pPr>
      <w:r>
        <w:separator/>
      </w:r>
    </w:p>
  </w:footnote>
  <w:footnote w:type="continuationSeparator" w:id="0">
    <w:p w:rsidR="00290D7D" w:rsidRDefault="00290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DF8" w:rsidRDefault="00290D7D">
    <w:pPr>
      <w:spacing w:line="240" w:lineRule="auto"/>
      <w:jc w:val="center"/>
      <w:rPr>
        <w:rFonts w:ascii="Times New Roman" w:eastAsia="Times New Roman" w:hAnsi="Times New Roman" w:cs="Times New Roman"/>
        <w:i/>
        <w:sz w:val="18"/>
        <w:szCs w:val="18"/>
        <w:highlight w:val="white"/>
      </w:rPr>
    </w:pP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ОТЧЕТ О РЕЗУЛЬТАТАХ </w:t>
    </w:r>
    <w:r>
      <w:rPr>
        <w:rFonts w:ascii="Times New Roman" w:eastAsia="Times New Roman" w:hAnsi="Times New Roman" w:cs="Times New Roman"/>
        <w:i/>
        <w:sz w:val="18"/>
        <w:szCs w:val="18"/>
        <w:highlight w:val="white"/>
      </w:rPr>
      <w:t xml:space="preserve"> сбора, обобщения и анализа информации о качестве условий оказания услуг организациями </w:t>
    </w:r>
  </w:p>
  <w:p w:rsidR="00036DF8" w:rsidRDefault="00036DF8">
    <w:pPr>
      <w:jc w:val="center"/>
      <w:rPr>
        <w:rFonts w:ascii="Times New Roman" w:eastAsia="Times New Roman" w:hAnsi="Times New Roman" w:cs="Times New Roman"/>
        <w:i/>
        <w:sz w:val="18"/>
        <w:szCs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26F01"/>
    <w:multiLevelType w:val="multilevel"/>
    <w:tmpl w:val="7B643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8"/>
    <w:rsid w:val="00036DF8"/>
    <w:rsid w:val="001E1640"/>
    <w:rsid w:val="002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19BA075-408B-0E43-A5E4-977FDE36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pert@nsok.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41864</Words>
  <Characters>238628</Characters>
  <Application>Microsoft Office Word</Application>
  <DocSecurity>0</DocSecurity>
  <Lines>1988</Lines>
  <Paragraphs>559</Paragraphs>
  <ScaleCrop>false</ScaleCrop>
  <Company/>
  <LinksUpToDate>false</LinksUpToDate>
  <CharactersWithSpaces>279933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Диляра Барсукова</cp:lastModifiedBy>
  <cp:revision>2</cp:revision>
  <dcterms:created xsi:type="dcterms:W3CDTF">2020-12-07T04:45:00Z</dcterms:created>
  <dcterms:modified xsi:type="dcterms:W3CDTF">2020-12-07T04:45:00Z</dcterms:modified>
</cp:coreProperties>
</file>